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1D9C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kern w:val="2"/>
          <w:sz w:val="28"/>
          <w:szCs w:val="28"/>
          <w:lang w:eastAsia="zh-CN"/>
        </w:rPr>
      </w:pPr>
      <w:r>
        <w:rPr>
          <w:rFonts w:hint="default" w:ascii="黑体" w:hAnsi="黑体" w:eastAsia="黑体" w:cs="黑体"/>
          <w:b/>
          <w:bCs/>
          <w:color w:val="auto"/>
          <w:kern w:val="2"/>
          <w:sz w:val="28"/>
          <w:szCs w:val="28"/>
          <w:lang w:eastAsia="zh-CN"/>
        </w:rPr>
        <w:t>五加皮配方颗粒</w:t>
      </w:r>
    </w:p>
    <w:p w14:paraId="3BB3E6E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sz w:val="24"/>
          <w:szCs w:val="24"/>
          <w:lang w:val="en-US" w:eastAsia="zh-CN"/>
        </w:rPr>
        <w:t>Wujiapi Peifangkeli</w:t>
      </w:r>
    </w:p>
    <w:p w14:paraId="193C936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eastAsia="宋体" w:cs="Times New Roman"/>
          <w:b/>
          <w:bCs/>
          <w:sz w:val="21"/>
          <w:szCs w:val="21"/>
        </w:rPr>
      </w:pPr>
    </w:p>
    <w:p w14:paraId="3F39A857">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b/>
          <w:bCs/>
          <w:sz w:val="21"/>
          <w:szCs w:val="21"/>
        </w:rPr>
        <w:t>【来源】</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本品为五加科植物细柱五加</w:t>
      </w:r>
      <w:r>
        <w:rPr>
          <w:rFonts w:hint="default" w:ascii="Times New Roman" w:hAnsi="Times New Roman" w:eastAsia="宋体" w:cs="Times New Roman"/>
          <w:i/>
          <w:iCs/>
          <w:sz w:val="21"/>
          <w:szCs w:val="21"/>
        </w:rPr>
        <w:t xml:space="preserve">Acanthopanax gracilistylus </w:t>
      </w:r>
      <w:r>
        <w:rPr>
          <w:rFonts w:hint="default" w:ascii="Times New Roman" w:hAnsi="Times New Roman" w:eastAsia="宋体" w:cs="Times New Roman"/>
          <w:sz w:val="21"/>
          <w:szCs w:val="21"/>
        </w:rPr>
        <w:t>W. W. Smith的干燥根皮经炮制并按标准汤剂的主要质量指标加工制成的配方颗粒。</w:t>
      </w:r>
    </w:p>
    <w:p w14:paraId="047BC8D7">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b/>
          <w:bCs/>
          <w:sz w:val="21"/>
          <w:szCs w:val="21"/>
        </w:rPr>
        <w:t xml:space="preserve">【制法】 </w:t>
      </w:r>
      <w:r>
        <w:rPr>
          <w:rFonts w:hint="default" w:ascii="Times New Roman" w:hAnsi="Times New Roman" w:eastAsia="宋体" w:cs="Times New Roman"/>
          <w:color w:val="000000" w:themeColor="text1"/>
          <w:sz w:val="21"/>
          <w:szCs w:val="21"/>
          <w14:textFill>
            <w14:solidFill>
              <w14:schemeClr w14:val="tx1"/>
            </w14:solidFill>
          </w14:textFill>
        </w:rPr>
        <w:t>取五加皮饮片5600g，加水煎煮，滤过，滤液浓缩成清膏（干浸膏出膏率为13</w:t>
      </w:r>
      <w:r>
        <w:rPr>
          <w:rFonts w:hint="default" w:ascii="Times New Roman" w:hAnsi="Times New Roman" w:eastAsia="宋体" w:cs="Times New Roman"/>
          <w:color w:val="000000" w:themeColor="text1"/>
          <w:sz w:val="21"/>
          <w:szCs w:val="21"/>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~17.8%）</w:t>
      </w:r>
      <w:r>
        <w:rPr>
          <w:rFonts w:hint="default" w:ascii="Times New Roman" w:hAnsi="Times New Roman" w:eastAsia="宋体" w:cs="Times New Roman"/>
          <w:sz w:val="21"/>
          <w:szCs w:val="21"/>
        </w:rPr>
        <w:t>，加入辅料适量，干燥（或干燥，粉碎），再加入辅料适量，混匀，制粒，制成1000g，即得。</w:t>
      </w:r>
    </w:p>
    <w:p w14:paraId="08EBD6D7">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b/>
          <w:bCs/>
          <w:sz w:val="21"/>
          <w:szCs w:val="21"/>
        </w:rPr>
        <w:t>【性状】</w:t>
      </w:r>
      <w:r>
        <w:rPr>
          <w:rFonts w:hint="default" w:ascii="Times New Roman" w:hAnsi="Times New Roman" w:eastAsia="宋体" w:cs="Times New Roman"/>
          <w:sz w:val="21"/>
          <w:szCs w:val="21"/>
        </w:rPr>
        <w:t xml:space="preserve"> 本品为黄棕色至棕褐色的颗粒；气微，味苦、微辛。</w:t>
      </w:r>
    </w:p>
    <w:p w14:paraId="28D5E878">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b/>
          <w:bCs/>
          <w:sz w:val="21"/>
          <w:szCs w:val="21"/>
        </w:rPr>
        <w:t>【鉴别】</w:t>
      </w:r>
      <w:r>
        <w:rPr>
          <w:rFonts w:hint="default" w:ascii="Times New Roman" w:hAnsi="Times New Roman" w:eastAsia="宋体" w:cs="Times New Roman"/>
          <w:b/>
          <w:sz w:val="21"/>
          <w:szCs w:val="21"/>
        </w:rPr>
        <w:t xml:space="preserve"> </w:t>
      </w:r>
      <w:r>
        <w:rPr>
          <w:rFonts w:hint="default" w:ascii="Times New Roman" w:hAnsi="Times New Roman" w:eastAsia="宋体" w:cs="Times New Roman"/>
          <w:sz w:val="21"/>
          <w:szCs w:val="21"/>
        </w:rPr>
        <w:t>取本品2g，研细，加水30ml，超声处理30分钟，放冷，用三氯甲烷振摇提取2次，每次20ml，合并三氯甲烷液，蒸干，残渣加甲醇1ml使溶解，作为供试品溶液。另取五加皮对照药材1g，加水50ml，煎煮30分钟，滤过，滤液浓缩至约30ml，放冷，自“用三氯甲烷振摇提取2次”起，同法制成对照药材溶液。再取异贝壳杉烯酸对照品，加甲醇制成每1ml含1mg的溶液，作为对照品溶液。照薄层色谱法（中国药典2020年版通则0502）试验，吸取供试品溶液4µl、对照药材溶液3µl、对照品溶液2µl，分别点于同一硅胶G薄层板上，以石油醚（60~90</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）-乙酸乙酯-甲酸（10</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0.1）为展开剂，展开，取出，晾干，喷以10%硫酸乙醇溶液，在105</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加热至斑点显色清晰，置紫外光灯（365nm）下检视。供试品色谱中，在与对照药材色谱和对照品色谱相应的位置上，显相同颜色的荧光斑点。</w:t>
      </w:r>
    </w:p>
    <w:p w14:paraId="76293903">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 xml:space="preserve">【特征图谱】 </w:t>
      </w:r>
      <w:r>
        <w:rPr>
          <w:rFonts w:hint="default" w:ascii="Times New Roman" w:hAnsi="Times New Roman" w:eastAsia="宋体" w:cs="Times New Roman"/>
          <w:sz w:val="21"/>
          <w:szCs w:val="21"/>
        </w:rPr>
        <w:t>照高效液相色谱法（中国药典2020年版通则0512）测定。</w:t>
      </w:r>
    </w:p>
    <w:p w14:paraId="153F86C0">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val="0"/>
          <w:sz w:val="21"/>
          <w:szCs w:val="21"/>
        </w:rPr>
        <w:t>色谱条件与系统适用性试验</w:t>
      </w:r>
      <w:r>
        <w:rPr>
          <w:rFonts w:hint="eastAsia" w:cs="Times New Roman"/>
          <w:sz w:val="21"/>
          <w:szCs w:val="21"/>
          <w:lang w:val="en-US" w:eastAsia="zh-CN"/>
        </w:rPr>
        <w:t xml:space="preserve"> </w:t>
      </w:r>
      <w:r>
        <w:rPr>
          <w:rFonts w:hint="default" w:ascii="Times New Roman" w:hAnsi="Times New Roman" w:eastAsia="宋体" w:cs="Times New Roman"/>
          <w:sz w:val="21"/>
          <w:szCs w:val="21"/>
        </w:rPr>
        <w:t>同</w:t>
      </w:r>
      <w:r>
        <w:rPr>
          <w:rFonts w:hint="eastAsia" w:cs="Times New Roman"/>
          <w:sz w:val="21"/>
          <w:szCs w:val="21"/>
          <w:lang w:eastAsia="zh-CN"/>
        </w:rPr>
        <w:t>【含量测定】</w:t>
      </w:r>
      <w:r>
        <w:rPr>
          <w:rFonts w:hint="default" w:ascii="Times New Roman" w:hAnsi="Times New Roman" w:eastAsia="宋体" w:cs="Times New Roman"/>
          <w:sz w:val="21"/>
          <w:szCs w:val="21"/>
        </w:rPr>
        <w:t>项。</w:t>
      </w:r>
    </w:p>
    <w:p w14:paraId="49AE1005">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参照物溶液的制备</w:t>
      </w:r>
      <w:r>
        <w:rPr>
          <w:rFonts w:hint="eastAsia" w:cs="Times New Roman"/>
          <w:sz w:val="21"/>
          <w:szCs w:val="21"/>
          <w:lang w:val="en-US" w:eastAsia="zh-CN"/>
        </w:rPr>
        <w:t xml:space="preserve"> </w:t>
      </w:r>
      <w:r>
        <w:rPr>
          <w:rFonts w:hint="default" w:ascii="Times New Roman" w:hAnsi="Times New Roman" w:eastAsia="宋体" w:cs="Times New Roman"/>
          <w:bCs/>
          <w:sz w:val="21"/>
          <w:szCs w:val="21"/>
        </w:rPr>
        <w:t>取五加皮对照药材0.5g，置具塞锥形瓶中，加水50ml，加热回流30分钟，放冷，滤过，滤液蒸干，残渣加50%甲醇25ml，超声处理（功率500W，频率40kHz）30分钟，放冷，滤过，取续滤液，作为对照药材参照物溶液。另取</w:t>
      </w:r>
      <w:r>
        <w:rPr>
          <w:rFonts w:hint="eastAsia" w:cs="Times New Roman"/>
          <w:sz w:val="21"/>
          <w:szCs w:val="21"/>
          <w:lang w:eastAsia="zh-CN"/>
        </w:rPr>
        <w:t>【含量测定】</w:t>
      </w:r>
      <w:r>
        <w:rPr>
          <w:rFonts w:hint="default" w:ascii="Times New Roman" w:hAnsi="Times New Roman" w:eastAsia="宋体" w:cs="Times New Roman"/>
          <w:sz w:val="21"/>
          <w:szCs w:val="21"/>
        </w:rPr>
        <w:t>项</w:t>
      </w:r>
      <w:r>
        <w:rPr>
          <w:rFonts w:hint="default" w:ascii="Times New Roman" w:hAnsi="Times New Roman" w:eastAsia="宋体" w:cs="Times New Roman"/>
          <w:bCs/>
          <w:sz w:val="21"/>
          <w:szCs w:val="21"/>
        </w:rPr>
        <w:t>下的对照品溶液，作为对照品参照物溶液</w:t>
      </w:r>
      <w:r>
        <w:rPr>
          <w:rFonts w:hint="default" w:ascii="Times New Roman" w:hAnsi="Times New Roman" w:eastAsia="宋体" w:cs="Times New Roman"/>
          <w:sz w:val="21"/>
          <w:szCs w:val="21"/>
        </w:rPr>
        <w:t>。</w:t>
      </w:r>
    </w:p>
    <w:p w14:paraId="05539B64">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供试品溶液的制备</w:t>
      </w:r>
      <w:r>
        <w:rPr>
          <w:rFonts w:hint="eastAsia" w:cs="Times New Roman"/>
          <w:b/>
          <w:sz w:val="21"/>
          <w:szCs w:val="21"/>
          <w:lang w:val="en-US" w:eastAsia="zh-CN"/>
        </w:rPr>
        <w:t xml:space="preserve"> </w:t>
      </w:r>
      <w:r>
        <w:rPr>
          <w:rFonts w:hint="default" w:ascii="Times New Roman" w:hAnsi="Times New Roman" w:eastAsia="宋体" w:cs="Times New Roman"/>
          <w:sz w:val="21"/>
          <w:szCs w:val="21"/>
        </w:rPr>
        <w:t>同</w:t>
      </w:r>
      <w:r>
        <w:rPr>
          <w:rFonts w:hint="eastAsia" w:cs="Times New Roman"/>
          <w:sz w:val="21"/>
          <w:szCs w:val="21"/>
          <w:lang w:eastAsia="zh-CN"/>
        </w:rPr>
        <w:t>【含量测定】</w:t>
      </w:r>
      <w:r>
        <w:rPr>
          <w:rFonts w:hint="default" w:ascii="Times New Roman" w:hAnsi="Times New Roman" w:eastAsia="宋体" w:cs="Times New Roman"/>
          <w:sz w:val="21"/>
          <w:szCs w:val="21"/>
        </w:rPr>
        <w:t>项</w:t>
      </w:r>
      <w:r>
        <w:rPr>
          <w:rFonts w:hint="default" w:ascii="Times New Roman" w:hAnsi="Times New Roman" w:eastAsia="宋体" w:cs="Times New Roman"/>
          <w:bCs/>
          <w:sz w:val="21"/>
          <w:szCs w:val="21"/>
        </w:rPr>
        <w:t>。</w:t>
      </w:r>
    </w:p>
    <w:p w14:paraId="7C534C38">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测定法</w:t>
      </w:r>
      <w:r>
        <w:rPr>
          <w:rFonts w:hint="eastAsia" w:cs="Times New Roman"/>
          <w:b/>
          <w:sz w:val="21"/>
          <w:szCs w:val="21"/>
          <w:lang w:val="en-US" w:eastAsia="zh-CN"/>
        </w:rPr>
        <w:t xml:space="preserve"> </w:t>
      </w:r>
      <w:r>
        <w:rPr>
          <w:rFonts w:hint="default" w:ascii="Times New Roman" w:hAnsi="Times New Roman" w:eastAsia="宋体" w:cs="Times New Roman"/>
          <w:sz w:val="21"/>
          <w:szCs w:val="21"/>
        </w:rPr>
        <w:t>分别精密吸取参照物溶液和供试品溶液各10μl，注入液相色谱仪，测定，即得。</w:t>
      </w:r>
    </w:p>
    <w:p w14:paraId="6D244887">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供试品色谱中应呈现6个特征峰，并应与对照药材参照物色谱中的6个特征峰保留时间相对应，与绿原酸参照物峰相应的峰为S峰，计算各特征峰与S峰的相对保留时间，其相对保留时间应在规定值的±10%范围之内。规定值为：0.6</w:t>
      </w:r>
      <w:r>
        <w:rPr>
          <w:rFonts w:hint="default" w:ascii="Times New Roman" w:hAnsi="Times New Roman" w:eastAsia="宋体" w:cs="Times New Roman"/>
          <w:bCs/>
          <w:sz w:val="21"/>
          <w:szCs w:val="21"/>
          <w:lang w:val="en-US" w:eastAsia="zh-CN"/>
        </w:rPr>
        <w:t>8</w:t>
      </w:r>
      <w:r>
        <w:rPr>
          <w:rFonts w:hint="default" w:ascii="Times New Roman" w:hAnsi="Times New Roman" w:eastAsia="宋体" w:cs="Times New Roman"/>
          <w:bCs/>
          <w:sz w:val="21"/>
          <w:szCs w:val="21"/>
        </w:rPr>
        <w:t>（峰1）、</w:t>
      </w:r>
      <w:r>
        <w:rPr>
          <w:rFonts w:hint="default" w:ascii="Times New Roman" w:hAnsi="Times New Roman" w:eastAsia="宋体" w:cs="Times New Roman"/>
          <w:bCs/>
          <w:sz w:val="21"/>
          <w:szCs w:val="21"/>
          <w:lang w:val="en-US" w:eastAsia="zh-CN"/>
        </w:rPr>
        <w:t>1.09</w:t>
      </w:r>
      <w:r>
        <w:rPr>
          <w:rFonts w:hint="default" w:ascii="Times New Roman" w:hAnsi="Times New Roman" w:eastAsia="宋体" w:cs="Times New Roman"/>
          <w:bCs/>
          <w:sz w:val="21"/>
          <w:szCs w:val="21"/>
        </w:rPr>
        <w:t>（峰3）、1.</w:t>
      </w:r>
      <w:r>
        <w:rPr>
          <w:rFonts w:hint="default" w:ascii="Times New Roman" w:hAnsi="Times New Roman" w:eastAsia="宋体" w:cs="Times New Roman"/>
          <w:bCs/>
          <w:sz w:val="21"/>
          <w:szCs w:val="21"/>
          <w:lang w:val="en-US" w:eastAsia="zh-CN"/>
        </w:rPr>
        <w:t>48</w:t>
      </w:r>
      <w:r>
        <w:rPr>
          <w:rFonts w:hint="default" w:ascii="Times New Roman" w:hAnsi="Times New Roman" w:eastAsia="宋体" w:cs="Times New Roman"/>
          <w:bCs/>
          <w:sz w:val="21"/>
          <w:szCs w:val="21"/>
        </w:rPr>
        <w:t>（峰4）、1.</w:t>
      </w:r>
      <w:r>
        <w:rPr>
          <w:rFonts w:hint="default" w:ascii="Times New Roman" w:hAnsi="Times New Roman" w:eastAsia="宋体" w:cs="Times New Roman"/>
          <w:bCs/>
          <w:sz w:val="21"/>
          <w:szCs w:val="21"/>
          <w:lang w:val="en-US" w:eastAsia="zh-CN"/>
        </w:rPr>
        <w:t>77</w:t>
      </w:r>
      <w:r>
        <w:rPr>
          <w:rFonts w:hint="default" w:ascii="Times New Roman" w:hAnsi="Times New Roman" w:eastAsia="宋体" w:cs="Times New Roman"/>
          <w:bCs/>
          <w:sz w:val="21"/>
          <w:szCs w:val="21"/>
        </w:rPr>
        <w:t>（峰5）、2.57（峰6）。</w:t>
      </w:r>
    </w:p>
    <w:p w14:paraId="4CE78345">
      <w:pPr>
        <w:pStyle w:val="3"/>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inline distT="0" distB="0" distL="0" distR="0">
            <wp:extent cx="4351020" cy="2092960"/>
            <wp:effectExtent l="0" t="0" r="11430" b="254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pic:cNvPicPr>
                  </pic:nvPicPr>
                  <pic:blipFill>
                    <a:blip r:embed="rId6"/>
                    <a:stretch>
                      <a:fillRect/>
                    </a:stretch>
                  </pic:blipFill>
                  <pic:spPr>
                    <a:xfrm>
                      <a:off x="0" y="0"/>
                      <a:ext cx="4361212" cy="2092960"/>
                    </a:xfrm>
                    <a:prstGeom prst="rect">
                      <a:avLst/>
                    </a:prstGeom>
                  </pic:spPr>
                </pic:pic>
              </a:graphicData>
            </a:graphic>
          </wp:inline>
        </w:drawing>
      </w:r>
    </w:p>
    <w:p w14:paraId="17EBDAC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1"/>
          <w:szCs w:val="21"/>
          <w:lang w:eastAsia="zh-CN"/>
        </w:rPr>
      </w:pPr>
      <w:r>
        <w:rPr>
          <w:rFonts w:hint="default" w:ascii="Times New Roman" w:hAnsi="Times New Roman" w:eastAsia="宋体" w:cs="Times New Roman"/>
          <w:b/>
          <w:bCs/>
          <w:kern w:val="0"/>
          <w:sz w:val="21"/>
          <w:szCs w:val="21"/>
          <w:lang w:eastAsia="zh-CN"/>
        </w:rPr>
        <w:t>对照特征图谱</w:t>
      </w:r>
    </w:p>
    <w:p w14:paraId="2982892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峰2：绿原酸</w:t>
      </w:r>
      <w:bookmarkStart w:id="0" w:name="_GoBack"/>
      <w:bookmarkEnd w:id="0"/>
    </w:p>
    <w:p w14:paraId="1D8FC7A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eastAsia="zh-CN"/>
        </w:rPr>
        <w:t>色谱柱：</w:t>
      </w:r>
      <w:r>
        <w:rPr>
          <w:rFonts w:hint="default" w:ascii="Times New Roman" w:hAnsi="Times New Roman" w:eastAsia="宋体" w:cs="Times New Roman"/>
          <w:color w:val="auto"/>
          <w:sz w:val="18"/>
          <w:szCs w:val="18"/>
          <w:lang w:val="en-US" w:eastAsia="zh-CN"/>
        </w:rPr>
        <w:t xml:space="preserve">Xtimate </w:t>
      </w:r>
      <w:r>
        <w:rPr>
          <w:rFonts w:hint="default" w:ascii="Times New Roman" w:hAnsi="Times New Roman" w:eastAsia="宋体" w:cs="Times New Roman"/>
          <w:color w:val="auto"/>
          <w:sz w:val="18"/>
          <w:szCs w:val="18"/>
          <w:lang w:eastAsia="zh-CN"/>
        </w:rPr>
        <w:t>C18，4.6mm×250mm，5µm</w:t>
      </w:r>
    </w:p>
    <w:p w14:paraId="521A9228">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【检查】</w:t>
      </w:r>
      <w:r>
        <w:rPr>
          <w:rFonts w:hint="default" w:ascii="Times New Roman" w:hAnsi="Times New Roman" w:eastAsia="宋体" w:cs="Times New Roman"/>
          <w:sz w:val="21"/>
          <w:szCs w:val="21"/>
        </w:rPr>
        <w:t xml:space="preserve"> 应符合颗粒剂项下有关的各项规定（中国药典2020年版通则0104）。</w:t>
      </w:r>
    </w:p>
    <w:p w14:paraId="631EE906">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bCs/>
          <w:sz w:val="21"/>
          <w:szCs w:val="21"/>
        </w:rPr>
      </w:pPr>
      <w:r>
        <w:rPr>
          <w:rFonts w:hint="default" w:ascii="Times New Roman" w:hAnsi="Times New Roman" w:eastAsia="宋体" w:cs="Times New Roman"/>
          <w:b/>
          <w:sz w:val="21"/>
          <w:szCs w:val="21"/>
        </w:rPr>
        <w:t>【</w:t>
      </w:r>
      <w:r>
        <w:rPr>
          <w:rFonts w:hint="default" w:ascii="Times New Roman" w:hAnsi="Times New Roman" w:eastAsia="宋体" w:cs="Times New Roman"/>
          <w:b/>
          <w:snapToGrid w:val="0"/>
          <w:kern w:val="0"/>
          <w:sz w:val="21"/>
          <w:szCs w:val="21"/>
        </w:rPr>
        <w:t>浸出物</w:t>
      </w:r>
      <w:r>
        <w:rPr>
          <w:rFonts w:hint="default" w:ascii="Times New Roman" w:hAnsi="Times New Roman" w:eastAsia="宋体" w:cs="Times New Roman"/>
          <w:b/>
          <w:sz w:val="21"/>
          <w:szCs w:val="21"/>
        </w:rPr>
        <w:t>】</w:t>
      </w:r>
      <w:r>
        <w:rPr>
          <w:rFonts w:hint="default" w:ascii="Times New Roman" w:hAnsi="Times New Roman" w:eastAsia="宋体" w:cs="Times New Roman"/>
          <w:bCs/>
          <w:sz w:val="21"/>
          <w:szCs w:val="21"/>
        </w:rPr>
        <w:t xml:space="preserve"> </w:t>
      </w:r>
      <w:r>
        <w:rPr>
          <w:rFonts w:hint="default" w:ascii="Times New Roman" w:hAnsi="Times New Roman" w:eastAsia="宋体" w:cs="Times New Roman"/>
          <w:sz w:val="21"/>
          <w:szCs w:val="21"/>
        </w:rPr>
        <w:t>照醇溶性浸出物测定法（中国药典2020年版通则2201）项下的热浸法测定，用乙醇作溶剂，不得少于15.0%。</w:t>
      </w:r>
    </w:p>
    <w:p w14:paraId="4B31CAD7">
      <w:pPr>
        <w:keepNext w:val="0"/>
        <w:keepLines w:val="0"/>
        <w:pageBreakBefore w:val="0"/>
        <w:widowControl w:val="0"/>
        <w:kinsoku/>
        <w:wordWrap/>
        <w:overflowPunct/>
        <w:topLinePunct w:val="0"/>
        <w:autoSpaceDE/>
        <w:autoSpaceDN/>
        <w:bidi w:val="0"/>
        <w:adjustRightInd/>
        <w:snapToGrid/>
        <w:ind w:firstLine="422"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【含量测定】</w:t>
      </w:r>
      <w:r>
        <w:rPr>
          <w:rFonts w:hint="default" w:ascii="Times New Roman" w:hAnsi="Times New Roman" w:eastAsia="宋体" w:cs="Times New Roman"/>
          <w:sz w:val="21"/>
          <w:szCs w:val="21"/>
        </w:rPr>
        <w:t xml:space="preserve"> 照高效液相色谱法（中国药典2020年版通则0512）测定。</w:t>
      </w:r>
    </w:p>
    <w:p w14:paraId="3375B957">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val="0"/>
          <w:kern w:val="0"/>
          <w:sz w:val="21"/>
          <w:szCs w:val="21"/>
        </w:rPr>
        <w:t>色谱条件与系统适用性试验</w:t>
      </w:r>
      <w:r>
        <w:rPr>
          <w:rFonts w:hint="eastAsia" w:cs="Times New Roman"/>
          <w:b/>
          <w:bCs w:val="0"/>
          <w:kern w:val="0"/>
          <w:sz w:val="21"/>
          <w:szCs w:val="21"/>
          <w:lang w:val="en-US" w:eastAsia="zh-CN"/>
        </w:rPr>
        <w:t xml:space="preserve"> </w:t>
      </w:r>
      <w:r>
        <w:rPr>
          <w:rFonts w:hint="default" w:ascii="Times New Roman" w:hAnsi="Times New Roman" w:eastAsia="宋体" w:cs="Times New Roman"/>
          <w:sz w:val="21"/>
          <w:szCs w:val="21"/>
        </w:rPr>
        <w:t>以十八烷基硅烷键合硅胶为填充剂（柱长为250mm，内径为4.6mm，粒径为5μm）；以乙腈为流动相A，以0.1%磷酸溶液为流动相B，按下表中的规定进行梯度洗脱；流速为每分钟0.8ml，柱温为25</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，检测波长为324nm。</w:t>
      </w:r>
      <w:r>
        <w:rPr>
          <w:rFonts w:hint="default" w:ascii="Times New Roman" w:hAnsi="Times New Roman" w:eastAsia="宋体" w:cs="Times New Roman"/>
          <w:kern w:val="0"/>
          <w:sz w:val="21"/>
          <w:szCs w:val="21"/>
        </w:rPr>
        <w:t>理论板数按绿原酸峰计算应不低于5000</w:t>
      </w:r>
      <w:r>
        <w:rPr>
          <w:rFonts w:hint="default" w:ascii="Times New Roman" w:hAnsi="Times New Roman" w:eastAsia="宋体" w:cs="Times New Roman"/>
          <w:sz w:val="21"/>
          <w:szCs w:val="21"/>
        </w:rPr>
        <w:t>。</w:t>
      </w:r>
    </w:p>
    <w:tbl>
      <w:tblPr>
        <w:tblStyle w:val="4"/>
        <w:tblW w:w="4789"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20"/>
        <w:gridCol w:w="2721"/>
        <w:gridCol w:w="2721"/>
      </w:tblGrid>
      <w:tr w14:paraId="4341486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bottom w:val="single" w:color="auto" w:sz="4" w:space="0"/>
              <w:tl2br w:val="nil"/>
              <w:tr2bl w:val="nil"/>
            </w:tcBorders>
            <w:vAlign w:val="center"/>
          </w:tcPr>
          <w:p w14:paraId="24EA5A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时间（分钟）</w:t>
            </w:r>
          </w:p>
        </w:tc>
        <w:tc>
          <w:tcPr>
            <w:tcW w:w="1666" w:type="pct"/>
            <w:tcBorders>
              <w:bottom w:val="single" w:color="auto" w:sz="4" w:space="0"/>
              <w:tl2br w:val="nil"/>
              <w:tr2bl w:val="nil"/>
            </w:tcBorders>
            <w:vAlign w:val="center"/>
          </w:tcPr>
          <w:p w14:paraId="626C74A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流动相A（%）</w:t>
            </w:r>
          </w:p>
        </w:tc>
        <w:tc>
          <w:tcPr>
            <w:tcW w:w="1666" w:type="pct"/>
            <w:tcBorders>
              <w:bottom w:val="single" w:color="auto" w:sz="4" w:space="0"/>
              <w:tl2br w:val="nil"/>
              <w:tr2bl w:val="nil"/>
            </w:tcBorders>
            <w:vAlign w:val="center"/>
          </w:tcPr>
          <w:p w14:paraId="44B2438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流动相B（%）</w:t>
            </w:r>
          </w:p>
        </w:tc>
      </w:tr>
      <w:tr w14:paraId="73A0CF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op w:val="single" w:color="auto" w:sz="4" w:space="0"/>
            </w:tcBorders>
            <w:vAlign w:val="center"/>
          </w:tcPr>
          <w:p w14:paraId="073F1D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0～20</w:t>
            </w:r>
          </w:p>
        </w:tc>
        <w:tc>
          <w:tcPr>
            <w:tcW w:w="1666" w:type="pct"/>
            <w:tcBorders>
              <w:top w:val="single" w:color="auto" w:sz="4" w:space="0"/>
            </w:tcBorders>
            <w:vAlign w:val="center"/>
          </w:tcPr>
          <w:p w14:paraId="1043042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12→16</w:t>
            </w:r>
          </w:p>
        </w:tc>
        <w:tc>
          <w:tcPr>
            <w:tcW w:w="1666" w:type="pct"/>
            <w:tcBorders>
              <w:top w:val="single" w:color="auto" w:sz="4" w:space="0"/>
            </w:tcBorders>
            <w:vAlign w:val="center"/>
          </w:tcPr>
          <w:p w14:paraId="1E25AD2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88→84</w:t>
            </w:r>
          </w:p>
        </w:tc>
      </w:tr>
      <w:tr w14:paraId="7DBF1A3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vAlign w:val="center"/>
          </w:tcPr>
          <w:p w14:paraId="4944BB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20～25</w:t>
            </w:r>
          </w:p>
        </w:tc>
        <w:tc>
          <w:tcPr>
            <w:tcW w:w="1666" w:type="pct"/>
            <w:tcBorders>
              <w:tl2br w:val="nil"/>
              <w:tr2bl w:val="nil"/>
            </w:tcBorders>
            <w:vAlign w:val="center"/>
          </w:tcPr>
          <w:p w14:paraId="7B3CCE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16→18</w:t>
            </w:r>
          </w:p>
        </w:tc>
        <w:tc>
          <w:tcPr>
            <w:tcW w:w="1666" w:type="pct"/>
            <w:tcBorders>
              <w:tl2br w:val="nil"/>
              <w:tr2bl w:val="nil"/>
            </w:tcBorders>
            <w:vAlign w:val="center"/>
          </w:tcPr>
          <w:p w14:paraId="6024982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84→82</w:t>
            </w:r>
          </w:p>
        </w:tc>
      </w:tr>
      <w:tr w14:paraId="5B19CD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vAlign w:val="center"/>
          </w:tcPr>
          <w:p w14:paraId="5BEAC73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25～30</w:t>
            </w:r>
          </w:p>
        </w:tc>
        <w:tc>
          <w:tcPr>
            <w:tcW w:w="1666" w:type="pct"/>
            <w:tcBorders>
              <w:tl2br w:val="nil"/>
              <w:tr2bl w:val="nil"/>
            </w:tcBorders>
            <w:vAlign w:val="center"/>
          </w:tcPr>
          <w:p w14:paraId="17033BF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18</w:t>
            </w:r>
          </w:p>
        </w:tc>
        <w:tc>
          <w:tcPr>
            <w:tcW w:w="1666" w:type="pct"/>
            <w:tcBorders>
              <w:tl2br w:val="nil"/>
              <w:tr2bl w:val="nil"/>
            </w:tcBorders>
            <w:vAlign w:val="center"/>
          </w:tcPr>
          <w:p w14:paraId="6A315A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82</w:t>
            </w:r>
          </w:p>
        </w:tc>
      </w:tr>
      <w:tr w14:paraId="2B68DB7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vAlign w:val="center"/>
          </w:tcPr>
          <w:p w14:paraId="3938FEF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30～31</w:t>
            </w:r>
          </w:p>
        </w:tc>
        <w:tc>
          <w:tcPr>
            <w:tcW w:w="1666" w:type="pct"/>
            <w:tcBorders>
              <w:tl2br w:val="nil"/>
              <w:tr2bl w:val="nil"/>
            </w:tcBorders>
            <w:vAlign w:val="center"/>
          </w:tcPr>
          <w:p w14:paraId="2C28482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18→50</w:t>
            </w:r>
          </w:p>
        </w:tc>
        <w:tc>
          <w:tcPr>
            <w:tcW w:w="1666" w:type="pct"/>
            <w:tcBorders>
              <w:tl2br w:val="nil"/>
              <w:tr2bl w:val="nil"/>
            </w:tcBorders>
            <w:vAlign w:val="center"/>
          </w:tcPr>
          <w:p w14:paraId="2F1F8CF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82→50</w:t>
            </w:r>
          </w:p>
        </w:tc>
      </w:tr>
      <w:tr w14:paraId="708E1E6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l2br w:val="nil"/>
              <w:tr2bl w:val="nil"/>
            </w:tcBorders>
            <w:vAlign w:val="center"/>
          </w:tcPr>
          <w:p w14:paraId="046E7CC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31～35</w:t>
            </w:r>
          </w:p>
        </w:tc>
        <w:tc>
          <w:tcPr>
            <w:tcW w:w="1666" w:type="pct"/>
            <w:tcBorders>
              <w:tl2br w:val="nil"/>
              <w:tr2bl w:val="nil"/>
            </w:tcBorders>
            <w:vAlign w:val="center"/>
          </w:tcPr>
          <w:p w14:paraId="3D4261C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50</w:t>
            </w:r>
          </w:p>
        </w:tc>
        <w:tc>
          <w:tcPr>
            <w:tcW w:w="1666" w:type="pct"/>
            <w:tcBorders>
              <w:tl2br w:val="nil"/>
              <w:tr2bl w:val="nil"/>
            </w:tcBorders>
            <w:vAlign w:val="center"/>
          </w:tcPr>
          <w:p w14:paraId="69890ED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50</w:t>
            </w:r>
          </w:p>
        </w:tc>
      </w:tr>
    </w:tbl>
    <w:p w14:paraId="7EF18152">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对照品溶液的制备</w:t>
      </w:r>
      <w:r>
        <w:rPr>
          <w:rFonts w:hint="eastAsia" w:cs="Times New Roman"/>
          <w:b/>
          <w:bCs/>
          <w:sz w:val="21"/>
          <w:szCs w:val="21"/>
          <w:lang w:val="en-US" w:eastAsia="zh-CN"/>
        </w:rPr>
        <w:t xml:space="preserve"> </w:t>
      </w:r>
      <w:r>
        <w:rPr>
          <w:rFonts w:hint="default" w:ascii="Times New Roman" w:hAnsi="Times New Roman" w:eastAsia="宋体" w:cs="Times New Roman"/>
          <w:sz w:val="21"/>
          <w:szCs w:val="21"/>
        </w:rPr>
        <w:t>取绿原酸对照品适量，精密称定，加甲醇制成每1ml含0.1mg的溶液，即得。</w:t>
      </w:r>
    </w:p>
    <w:p w14:paraId="2EEA5041">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
          <w:bCs/>
          <w:color w:val="000000"/>
          <w:sz w:val="21"/>
          <w:szCs w:val="21"/>
        </w:rPr>
        <w:t>供试品溶液的制备</w:t>
      </w:r>
      <w:r>
        <w:rPr>
          <w:rFonts w:hint="eastAsia" w:cs="Times New Roman"/>
          <w:b/>
          <w:bCs/>
          <w:color w:val="000000"/>
          <w:sz w:val="21"/>
          <w:szCs w:val="21"/>
          <w:lang w:val="en-US" w:eastAsia="zh-CN"/>
        </w:rPr>
        <w:t xml:space="preserve"> </w:t>
      </w:r>
      <w:r>
        <w:rPr>
          <w:rFonts w:hint="default" w:ascii="Times New Roman" w:hAnsi="Times New Roman" w:eastAsia="宋体" w:cs="Times New Roman"/>
          <w:sz w:val="21"/>
          <w:szCs w:val="21"/>
        </w:rPr>
        <w:t>取本品适量，研细，</w:t>
      </w:r>
      <w:r>
        <w:rPr>
          <w:rFonts w:hint="default" w:ascii="Times New Roman" w:hAnsi="Times New Roman" w:eastAsia="宋体" w:cs="Times New Roman"/>
          <w:color w:val="000000"/>
          <w:sz w:val="21"/>
          <w:szCs w:val="21"/>
        </w:rPr>
        <w:t>取约0.2g，精密称定，置具塞锥形瓶中，精密加入50%甲醇50ml，密塞，称定重量，</w:t>
      </w:r>
      <w:r>
        <w:rPr>
          <w:rFonts w:hint="default" w:ascii="Times New Roman" w:hAnsi="Times New Roman" w:eastAsia="宋体" w:cs="Times New Roman"/>
          <w:sz w:val="21"/>
          <w:szCs w:val="21"/>
        </w:rPr>
        <w:t>超声处理（功率500W，频率40kHz）30分钟，取出，放冷，再称定重量，用50%甲醇补足减失的重量，摇匀，</w:t>
      </w:r>
      <w:r>
        <w:rPr>
          <w:rFonts w:hint="default" w:ascii="Times New Roman" w:hAnsi="Times New Roman" w:eastAsia="宋体" w:cs="Times New Roman"/>
          <w:color w:val="000000"/>
          <w:sz w:val="21"/>
          <w:szCs w:val="21"/>
        </w:rPr>
        <w:t>滤过，取续滤液，即得。</w:t>
      </w:r>
    </w:p>
    <w:p w14:paraId="0CB19F65">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测定法</w:t>
      </w:r>
      <w:r>
        <w:rPr>
          <w:rFonts w:hint="eastAsia" w:cs="Times New Roman"/>
          <w:b/>
          <w:bCs/>
          <w:sz w:val="21"/>
          <w:szCs w:val="21"/>
          <w:lang w:val="en-US" w:eastAsia="zh-CN"/>
        </w:rPr>
        <w:t xml:space="preserve"> </w:t>
      </w:r>
      <w:r>
        <w:rPr>
          <w:rFonts w:hint="default" w:ascii="Times New Roman" w:hAnsi="Times New Roman" w:eastAsia="宋体" w:cs="Times New Roman"/>
          <w:color w:val="000000"/>
          <w:sz w:val="21"/>
          <w:szCs w:val="21"/>
        </w:rPr>
        <w:t>分别精密吸取对照品溶液和</w:t>
      </w:r>
      <w:r>
        <w:rPr>
          <w:rFonts w:hint="default" w:ascii="Times New Roman" w:hAnsi="Times New Roman" w:eastAsia="宋体" w:cs="Times New Roman"/>
          <w:sz w:val="21"/>
          <w:szCs w:val="21"/>
        </w:rPr>
        <w:t>供试品溶液各10μl，注入液相色谱仪，测定，即得。</w:t>
      </w:r>
    </w:p>
    <w:p w14:paraId="325D6AC5">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本品每1g含绿原酸（C</w:t>
      </w:r>
      <w:r>
        <w:rPr>
          <w:rFonts w:hint="default" w:ascii="Times New Roman" w:hAnsi="Times New Roman" w:eastAsia="宋体" w:cs="Times New Roman"/>
          <w:sz w:val="21"/>
          <w:szCs w:val="21"/>
          <w:vertAlign w:val="subscript"/>
        </w:rPr>
        <w:t>16</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18</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9</w:t>
      </w:r>
      <w:r>
        <w:rPr>
          <w:rFonts w:hint="default" w:ascii="Times New Roman" w:hAnsi="Times New Roman" w:eastAsia="宋体" w:cs="Times New Roman"/>
          <w:sz w:val="21"/>
          <w:szCs w:val="21"/>
        </w:rPr>
        <w:t>）应为2.5mg~15.0mg。</w:t>
      </w:r>
    </w:p>
    <w:p w14:paraId="0623B6A5">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b/>
          <w:bCs/>
          <w:color w:val="000000"/>
          <w:sz w:val="21"/>
          <w:szCs w:val="21"/>
        </w:rPr>
        <w:t>【规格】</w:t>
      </w:r>
      <w:r>
        <w:rPr>
          <w:rFonts w:hint="default" w:ascii="Times New Roman" w:hAnsi="Times New Roman" w:eastAsia="宋体" w:cs="Times New Roman"/>
          <w:color w:val="000000"/>
          <w:sz w:val="21"/>
          <w:szCs w:val="21"/>
        </w:rPr>
        <w:t xml:space="preserve"> 每1g配方颗粒相当于饮片5.6g</w:t>
      </w:r>
    </w:p>
    <w:p w14:paraId="533329BC">
      <w:pPr>
        <w:keepNext w:val="0"/>
        <w:keepLines w:val="0"/>
        <w:pageBreakBefore w:val="0"/>
        <w:widowControl w:val="0"/>
        <w:kinsoku/>
        <w:wordWrap/>
        <w:overflowPunct/>
        <w:topLinePunct w:val="0"/>
        <w:autoSpaceDE/>
        <w:autoSpaceDN/>
        <w:bidi w:val="0"/>
        <w:adjustRightInd/>
        <w:snapToGrid/>
        <w:spacing w:line="360" w:lineRule="auto"/>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color w:val="000000"/>
          <w:sz w:val="21"/>
          <w:szCs w:val="21"/>
        </w:rPr>
        <w:t>【贮藏】</w:t>
      </w:r>
      <w:r>
        <w:rPr>
          <w:rFonts w:hint="default" w:ascii="Times New Roman" w:hAnsi="Times New Roman" w:eastAsia="宋体" w:cs="Times New Roman"/>
          <w:b/>
          <w:color w:val="000000"/>
          <w:sz w:val="21"/>
          <w:szCs w:val="21"/>
        </w:rPr>
        <w:t xml:space="preserve"> </w:t>
      </w:r>
      <w:r>
        <w:rPr>
          <w:rFonts w:hint="default" w:ascii="Times New Roman" w:hAnsi="Times New Roman" w:eastAsia="宋体" w:cs="Times New Roman"/>
          <w:color w:val="000000"/>
          <w:sz w:val="21"/>
          <w:szCs w:val="21"/>
        </w:rPr>
        <w:t>密封。</w:t>
      </w:r>
    </w:p>
    <w:p w14:paraId="2B589DE8">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default" w:ascii="Times New Roman" w:hAnsi="Times New Roman" w:eastAsia="宋体" w:cs="Times New Roman"/>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7463A9"/>
    <w:rsid w:val="007463A9"/>
    <w:rsid w:val="00F46200"/>
    <w:rsid w:val="08EC46D7"/>
    <w:rsid w:val="15A44115"/>
    <w:rsid w:val="3B8C3A12"/>
    <w:rsid w:val="3C651865"/>
    <w:rsid w:val="4F133DD7"/>
    <w:rsid w:val="5CD83E02"/>
    <w:rsid w:val="61511F03"/>
    <w:rsid w:val="7A271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qFormat/>
    <w:uiPriority w:val="9"/>
    <w:pPr>
      <w:keepNext/>
      <w:keepLines/>
      <w:widowControl w:val="0"/>
      <w:adjustRightInd w:val="0"/>
      <w:snapToGrid w:val="0"/>
      <w:spacing w:line="360" w:lineRule="auto"/>
      <w:ind w:firstLine="0" w:firstLineChars="0"/>
      <w:jc w:val="left"/>
      <w:outlineLvl w:val="0"/>
    </w:pPr>
    <w:rPr>
      <w:rFonts w:ascii="Times New Roman" w:hAnsi="Times New Roman" w:eastAsia="宋体" w:cs="Times New Roman"/>
      <w:b/>
      <w:bCs/>
      <w:kern w:val="44"/>
      <w:sz w:val="28"/>
      <w:szCs w:val="4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240" w:lineRule="auto"/>
      <w:ind w:firstLine="0" w:firstLineChars="0"/>
      <w:jc w:val="center"/>
    </w:pPr>
    <w:rPr>
      <w:sz w:val="21"/>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1375</Words>
  <Characters>1686</Characters>
  <Lines>12</Lines>
  <Paragraphs>3</Paragraphs>
  <TotalTime>254</TotalTime>
  <ScaleCrop>false</ScaleCrop>
  <LinksUpToDate>false</LinksUpToDate>
  <CharactersWithSpaces>1719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2022-11-10T08:19:00Z</dcterms:created>
  <dc:creator>Mr Cheng</dc:creator>
  <cp:lastModifiedBy>爱迪生1990</cp:lastModifiedBy>
  <dcterms:modified xsi:type="dcterms:W3CDTF">2024-09-13T10:45:46Z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A74DB6C684B9413B85A90CD245EB361A_12</vt:lpwstr>
  </property>
</Properties>
</file>